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7F87" w14:textId="77777777" w:rsidR="00EF392D" w:rsidRDefault="00BC2E40">
      <w:pPr>
        <w:pStyle w:val="Heading1"/>
      </w:pPr>
      <w:bookmarkStart w:id="0" w:name="_1ezb1bqkeb8s" w:colFirst="0" w:colLast="0"/>
      <w:bookmarkEnd w:id="0"/>
      <w:r>
        <w:t>Rhythmic movement</w:t>
      </w:r>
    </w:p>
    <w:p w14:paraId="152C1B56" w14:textId="77777777" w:rsidR="00EF392D" w:rsidRDefault="00BC2E40">
      <w:r>
        <w:t xml:space="preserve">This information sheet describes rhythmic movement through dance, music and drama. It highlights the role some of the senses play in enabling </w:t>
      </w:r>
      <w:proofErr w:type="spellStart"/>
      <w:r>
        <w:t>tamariki</w:t>
      </w:r>
      <w:proofErr w:type="spellEnd"/>
      <w:r>
        <w:t xml:space="preserve"> to move confidently.</w:t>
      </w:r>
    </w:p>
    <w:p w14:paraId="58217C0C" w14:textId="77777777" w:rsidR="00EF392D" w:rsidRDefault="0016007D">
      <w:pPr>
        <w:sectPr w:rsidR="00EF392D">
          <w:headerReference w:type="even" r:id="rId7"/>
          <w:headerReference w:type="default" r:id="rId8"/>
          <w:footerReference w:type="even" r:id="rId9"/>
          <w:footerReference w:type="default" r:id="rId10"/>
          <w:headerReference w:type="first" r:id="rId11"/>
          <w:footerReference w:type="first" r:id="rId12"/>
          <w:pgSz w:w="11906" w:h="16838"/>
          <w:pgMar w:top="566" w:right="566" w:bottom="566" w:left="566" w:header="708" w:footer="141" w:gutter="0"/>
          <w:pgNumType w:start="1"/>
          <w:cols w:space="720"/>
        </w:sectPr>
      </w:pPr>
      <w:r>
        <w:rPr>
          <w:noProof/>
        </w:rPr>
      </w:r>
      <w:r w:rsidR="0016007D">
        <w:rPr>
          <w:noProof/>
        </w:rPr>
        <w:pict w14:anchorId="75DA32CC">
          <v:rect id="_x0000_i1025" alt="" style="width:538.7pt;height:.05pt;mso-width-percent:0;mso-height-percent:0;mso-width-percent:0;mso-height-percent:0" o:hralign="center" o:hrstd="t" o:hr="t" fillcolor="#a0a0a0" stroked="f"/>
        </w:pict>
      </w:r>
    </w:p>
    <w:p w14:paraId="17A0AEFB" w14:textId="77777777" w:rsidR="00EF392D" w:rsidRDefault="00BC2E40">
      <w:pPr>
        <w:pStyle w:val="Heading2"/>
      </w:pPr>
      <w:bookmarkStart w:id="1" w:name="_l76umyfpwg23" w:colFirst="0" w:colLast="0"/>
      <w:bookmarkEnd w:id="1"/>
      <w:r>
        <w:t xml:space="preserve">Moving in different ways </w:t>
      </w:r>
    </w:p>
    <w:p w14:paraId="0A6585C4" w14:textId="77777777" w:rsidR="00EF392D" w:rsidRDefault="00BC2E40">
      <w:r>
        <w:t xml:space="preserve">Dance, music, and drama encourage </w:t>
      </w:r>
      <w:proofErr w:type="spellStart"/>
      <w:r>
        <w:t>tamariki</w:t>
      </w:r>
      <w:proofErr w:type="spellEnd"/>
      <w:r>
        <w:t xml:space="preserve">  to imaginatively use their body to interpret and portray feelings, the environment, and stories in their own way.</w:t>
      </w:r>
    </w:p>
    <w:p w14:paraId="73C9549E" w14:textId="77777777" w:rsidR="00EF392D" w:rsidRDefault="00BC2E40">
      <w:r>
        <w:t xml:space="preserve">As they explore their own forms of </w:t>
      </w:r>
      <w:proofErr w:type="spellStart"/>
      <w:r>
        <w:t>self expression</w:t>
      </w:r>
      <w:proofErr w:type="spellEnd"/>
      <w:r>
        <w:t xml:space="preserve">, </w:t>
      </w:r>
      <w:proofErr w:type="spellStart"/>
      <w:r>
        <w:t>tamariki</w:t>
      </w:r>
      <w:proofErr w:type="spellEnd"/>
      <w:r>
        <w:t xml:space="preserve"> draw on their fundamental movement skills to isolate and move parts of the body, to combine movements, and to vary the speed, force, and size of movements. </w:t>
      </w:r>
    </w:p>
    <w:p w14:paraId="0DC015E1" w14:textId="77777777" w:rsidR="00EF392D" w:rsidRDefault="00BC2E40">
      <w:r>
        <w:t xml:space="preserve">While developing the physical skills to move rhythmically, </w:t>
      </w:r>
      <w:proofErr w:type="spellStart"/>
      <w:r>
        <w:t>tamariki</w:t>
      </w:r>
      <w:proofErr w:type="spellEnd"/>
      <w:r>
        <w:t xml:space="preserve"> are also engaging in the cognitive, social, emotional, and spiritual dimensions of learning by, for example, learning to:</w:t>
      </w:r>
    </w:p>
    <w:p w14:paraId="1D14228C" w14:textId="77777777" w:rsidR="00EF392D" w:rsidRDefault="00BC2E40">
      <w:pPr>
        <w:numPr>
          <w:ilvl w:val="0"/>
          <w:numId w:val="2"/>
        </w:numPr>
        <w:spacing w:after="0"/>
        <w:ind w:left="425"/>
      </w:pPr>
      <w:r>
        <w:t xml:space="preserve">express their emotions and creative ideas through movement  </w:t>
      </w:r>
    </w:p>
    <w:p w14:paraId="287E051D" w14:textId="77777777" w:rsidR="00EF392D" w:rsidRDefault="00BC2E40">
      <w:pPr>
        <w:numPr>
          <w:ilvl w:val="0"/>
          <w:numId w:val="2"/>
        </w:numPr>
        <w:spacing w:after="0"/>
        <w:ind w:left="425"/>
      </w:pPr>
      <w:r>
        <w:t>explore new ways of communicating ideas, stories, and feelings</w:t>
      </w:r>
    </w:p>
    <w:p w14:paraId="0597027B" w14:textId="77777777" w:rsidR="00EF392D" w:rsidRDefault="00BC2E40">
      <w:pPr>
        <w:numPr>
          <w:ilvl w:val="0"/>
          <w:numId w:val="2"/>
        </w:numPr>
        <w:spacing w:after="0"/>
        <w:ind w:left="425"/>
      </w:pPr>
      <w:r>
        <w:t>develop language and memory skills</w:t>
      </w:r>
    </w:p>
    <w:p w14:paraId="0D46CD1A" w14:textId="77777777" w:rsidR="00EF392D" w:rsidRDefault="00BC2E40">
      <w:pPr>
        <w:numPr>
          <w:ilvl w:val="0"/>
          <w:numId w:val="2"/>
        </w:numPr>
        <w:spacing w:after="0"/>
        <w:ind w:left="425"/>
      </w:pPr>
      <w:r>
        <w:t>relate concepts to movements, for example, by twisting like tuna or being as strong as a kauri</w:t>
      </w:r>
    </w:p>
    <w:p w14:paraId="70371C8F" w14:textId="77777777" w:rsidR="00EF392D" w:rsidRDefault="00BC2E40">
      <w:pPr>
        <w:numPr>
          <w:ilvl w:val="0"/>
          <w:numId w:val="2"/>
        </w:numPr>
        <w:spacing w:after="0"/>
        <w:ind w:left="425"/>
      </w:pPr>
      <w:r>
        <w:t>work with others to explore storytelling and creative movement</w:t>
      </w:r>
    </w:p>
    <w:p w14:paraId="0D4F8A0C" w14:textId="77777777" w:rsidR="00EF392D" w:rsidRDefault="00BC2E40">
      <w:pPr>
        <w:numPr>
          <w:ilvl w:val="0"/>
          <w:numId w:val="2"/>
        </w:numPr>
        <w:spacing w:after="0"/>
        <w:ind w:left="425"/>
      </w:pPr>
      <w:r>
        <w:t>learn to tell and retell the stories, songs, and dances of their heritage</w:t>
      </w:r>
    </w:p>
    <w:p w14:paraId="3F6F97A5" w14:textId="77777777" w:rsidR="00EF392D" w:rsidRDefault="00BC2E40">
      <w:pPr>
        <w:numPr>
          <w:ilvl w:val="0"/>
          <w:numId w:val="2"/>
        </w:numPr>
        <w:ind w:left="425"/>
      </w:pPr>
      <w:r>
        <w:t xml:space="preserve">appreciate the cultural taonga that </w:t>
      </w:r>
      <w:proofErr w:type="spellStart"/>
      <w:r>
        <w:t>te</w:t>
      </w:r>
      <w:proofErr w:type="spellEnd"/>
      <w:r>
        <w:t xml:space="preserve"> </w:t>
      </w:r>
      <w:proofErr w:type="spellStart"/>
      <w:r>
        <w:t>ao</w:t>
      </w:r>
      <w:proofErr w:type="spellEnd"/>
      <w:r>
        <w:t xml:space="preserve"> Māori expresses through </w:t>
      </w:r>
      <w:proofErr w:type="spellStart"/>
      <w:r>
        <w:t>te</w:t>
      </w:r>
      <w:proofErr w:type="spellEnd"/>
      <w:r>
        <w:t xml:space="preserve"> </w:t>
      </w:r>
      <w:proofErr w:type="spellStart"/>
      <w:r>
        <w:t>ao</w:t>
      </w:r>
      <w:proofErr w:type="spellEnd"/>
      <w:r>
        <w:t xml:space="preserve"> </w:t>
      </w:r>
      <w:proofErr w:type="spellStart"/>
      <w:r>
        <w:t>kori</w:t>
      </w:r>
      <w:proofErr w:type="spellEnd"/>
      <w:r>
        <w:t>.</w:t>
      </w:r>
      <w:r>
        <w:br/>
      </w:r>
    </w:p>
    <w:p w14:paraId="37197201" w14:textId="77777777" w:rsidR="00EF392D" w:rsidRDefault="00BC2E40">
      <w:pPr>
        <w:pStyle w:val="Heading2"/>
        <w:spacing w:before="200"/>
      </w:pPr>
      <w:bookmarkStart w:id="2" w:name="_xnkgzb2m81bp" w:colFirst="0" w:colLast="0"/>
      <w:bookmarkEnd w:id="2"/>
      <w:r>
        <w:t>Embracing traditional arts</w:t>
      </w:r>
    </w:p>
    <w:p w14:paraId="66375AC4" w14:textId="77777777" w:rsidR="00EF392D" w:rsidRDefault="00BC2E40">
      <w:r>
        <w:t xml:space="preserve">For many cultures, traditional arts are a vital part of continuing the oral traditions and customs of the past. Dance, music, and drama provide opportunities for </w:t>
      </w:r>
      <w:proofErr w:type="spellStart"/>
      <w:r>
        <w:t>tamariki</w:t>
      </w:r>
      <w:proofErr w:type="spellEnd"/>
      <w:r>
        <w:t xml:space="preserve"> to learn about and gain competencies in their own traditional forms of movement and the stories these forms pass on. For example, learning specific hand movements, moving to certain drum patterns, or using poi, fans, flowers, or ribbons.  </w:t>
      </w:r>
    </w:p>
    <w:p w14:paraId="74A1F933" w14:textId="77777777" w:rsidR="00EF392D" w:rsidRDefault="00BC2E40">
      <w:pPr>
        <w:pStyle w:val="Heading2"/>
      </w:pPr>
      <w:bookmarkStart w:id="3" w:name="_hz1uwimyssv9" w:colFirst="0" w:colLast="0"/>
      <w:bookmarkEnd w:id="3"/>
      <w:r>
        <w:t>The role of the senses</w:t>
      </w:r>
    </w:p>
    <w:p w14:paraId="04E21E3B" w14:textId="77777777" w:rsidR="00EF392D" w:rsidRDefault="00BC2E40">
      <w:r>
        <w:t xml:space="preserve">Dance, music, and drama highlight the role senses play in enabling </w:t>
      </w:r>
      <w:proofErr w:type="spellStart"/>
      <w:r>
        <w:t>tamariki</w:t>
      </w:r>
      <w:proofErr w:type="spellEnd"/>
      <w:r>
        <w:t xml:space="preserve"> to move confidently as they express themselves in rhythmic ways.  </w:t>
      </w:r>
    </w:p>
    <w:p w14:paraId="71AE64EB" w14:textId="77777777" w:rsidR="00EF392D" w:rsidRDefault="00BC2E40">
      <w:r>
        <w:t>Along with the five well known senses, there are three others: the vestibular, proprioceptive and interoceptive senses. Tamariki draw on these senses as they coordinate body movements, learn about balance, and understand how their body responds.</w:t>
      </w:r>
    </w:p>
    <w:p w14:paraId="4A628102" w14:textId="77777777" w:rsidR="00EF392D" w:rsidRDefault="00BC2E40">
      <w:pPr>
        <w:pStyle w:val="Heading3"/>
        <w:rPr>
          <w:sz w:val="24"/>
          <w:szCs w:val="24"/>
        </w:rPr>
      </w:pPr>
      <w:bookmarkStart w:id="4" w:name="_bgtqgbnnq9jl" w:colFirst="0" w:colLast="0"/>
      <w:bookmarkEnd w:id="4"/>
      <w:r>
        <w:t xml:space="preserve">The vestibular sense </w:t>
      </w:r>
    </w:p>
    <w:p w14:paraId="3FFC0A76" w14:textId="77777777" w:rsidR="00EF392D" w:rsidRDefault="00BC2E40">
      <w:r>
        <w:t xml:space="preserve">The vestibular sense develops balance, stability, and an understanding of where </w:t>
      </w:r>
      <w:proofErr w:type="spellStart"/>
      <w:r>
        <w:t>tamariki</w:t>
      </w:r>
      <w:proofErr w:type="spellEnd"/>
      <w:r>
        <w:t xml:space="preserve"> are in space. When </w:t>
      </w:r>
      <w:proofErr w:type="spellStart"/>
      <w:r>
        <w:t>tamariki</w:t>
      </w:r>
      <w:proofErr w:type="spellEnd"/>
      <w:r>
        <w:t xml:space="preserve"> are spinning, swinging, bouncing or rocking they stimulate their vestibular sense. Some </w:t>
      </w:r>
      <w:proofErr w:type="spellStart"/>
      <w:r>
        <w:t>tamariki</w:t>
      </w:r>
      <w:proofErr w:type="spellEnd"/>
      <w:r>
        <w:t xml:space="preserve"> will do this more than others, developing in their own way at their own pace.  </w:t>
      </w:r>
    </w:p>
    <w:p w14:paraId="432A1773" w14:textId="77777777" w:rsidR="00EF392D" w:rsidRDefault="00BC2E40">
      <w:pPr>
        <w:pStyle w:val="Heading3"/>
      </w:pPr>
      <w:bookmarkStart w:id="5" w:name="_m62o1oem02li" w:colFirst="0" w:colLast="0"/>
      <w:bookmarkEnd w:id="5"/>
      <w:r>
        <w:t>The proprioceptive sense</w:t>
      </w:r>
    </w:p>
    <w:p w14:paraId="40D274AA" w14:textId="77777777" w:rsidR="00EF392D" w:rsidRDefault="00BC2E40">
      <w:r>
        <w:t xml:space="preserve">Feeling the way their body moves and the relationships between parts of the body, builds the proprioceptive sense, the body awareness, of </w:t>
      </w:r>
      <w:proofErr w:type="spellStart"/>
      <w:r>
        <w:t>tamariki</w:t>
      </w:r>
      <w:proofErr w:type="spellEnd"/>
      <w:r>
        <w:t>. The weight of a blanket, the sensation of being hugged, holding things loosely or tightly, and the ways joints, muscles, and ligaments work separately or together builds this sense. The development of the proprioceptive sense leads to muscle memory and an unconscious ability to move in certain ways, such as walking, running, and falling.</w:t>
      </w:r>
    </w:p>
    <w:p w14:paraId="64D26816" w14:textId="77777777" w:rsidR="00EF392D" w:rsidRDefault="00BC2E40">
      <w:pPr>
        <w:pStyle w:val="Heading3"/>
      </w:pPr>
      <w:bookmarkStart w:id="6" w:name="_cscti38zet1u" w:colFirst="0" w:colLast="0"/>
      <w:bookmarkEnd w:id="6"/>
      <w:r>
        <w:t xml:space="preserve">The interoceptive sense </w:t>
      </w:r>
    </w:p>
    <w:p w14:paraId="76EFF505" w14:textId="77777777" w:rsidR="00EF392D" w:rsidRDefault="00BC2E40">
      <w:r>
        <w:t xml:space="preserve">This sense helps </w:t>
      </w:r>
      <w:proofErr w:type="spellStart"/>
      <w:r>
        <w:t>tamariki</w:t>
      </w:r>
      <w:proofErr w:type="spellEnd"/>
      <w:r>
        <w:t xml:space="preserve"> make connections between what their internal organs are feeling and how that relates to their own personal needs or emotions. For example, when we are hungry, thirsty, hot, or cold our bodies physically respond in some way – tummy noises, dry mouth, goosebumps or shivering. Strong emotions also create bodily responses such as changes in breathing, temperature or </w:t>
      </w:r>
      <w:proofErr w:type="spellStart"/>
      <w:r>
        <w:t>heart beat</w:t>
      </w:r>
      <w:proofErr w:type="spellEnd"/>
      <w:r>
        <w:t>.</w:t>
      </w:r>
    </w:p>
    <w:p w14:paraId="6E97C9A2" w14:textId="77777777" w:rsidR="00EF392D" w:rsidRDefault="00EF392D"/>
    <w:p w14:paraId="501F3FC4" w14:textId="77777777" w:rsidR="00EF392D" w:rsidRDefault="00BC2E40">
      <w:pPr>
        <w:pStyle w:val="Heading2"/>
      </w:pPr>
      <w:bookmarkStart w:id="7" w:name="_is6r6ms47v9k" w:colFirst="0" w:colLast="0"/>
      <w:bookmarkEnd w:id="7"/>
      <w:r>
        <w:t xml:space="preserve">Considerations for </w:t>
      </w:r>
      <w:proofErr w:type="spellStart"/>
      <w:r>
        <w:t>kaiako</w:t>
      </w:r>
      <w:proofErr w:type="spellEnd"/>
      <w:r>
        <w:t xml:space="preserve"> practice</w:t>
      </w:r>
    </w:p>
    <w:p w14:paraId="59DE1C0A" w14:textId="77777777" w:rsidR="00EF392D" w:rsidRDefault="00BC2E40">
      <w:r>
        <w:rPr>
          <w:color w:val="000000"/>
        </w:rPr>
        <w:t xml:space="preserve">Kaiako support </w:t>
      </w:r>
      <w:proofErr w:type="spellStart"/>
      <w:r>
        <w:t>tamariki</w:t>
      </w:r>
      <w:proofErr w:type="spellEnd"/>
      <w:r>
        <w:t xml:space="preserve"> to </w:t>
      </w:r>
      <w:r>
        <w:rPr>
          <w:color w:val="000000"/>
        </w:rPr>
        <w:t>engage in dancing, music,  and drama when they:</w:t>
      </w:r>
    </w:p>
    <w:p w14:paraId="38E6A3AB" w14:textId="77777777" w:rsidR="00EF392D" w:rsidRDefault="00BC2E40">
      <w:pPr>
        <w:numPr>
          <w:ilvl w:val="0"/>
          <w:numId w:val="3"/>
        </w:numPr>
        <w:ind w:left="425"/>
      </w:pPr>
      <w:r>
        <w:t>give infants opportunities to bounce, rock, jiggle</w:t>
      </w:r>
    </w:p>
    <w:p w14:paraId="0321B084" w14:textId="77777777" w:rsidR="00EF392D" w:rsidRDefault="00BC2E40">
      <w:pPr>
        <w:numPr>
          <w:ilvl w:val="0"/>
          <w:numId w:val="3"/>
        </w:numPr>
        <w:pBdr>
          <w:top w:val="nil"/>
          <w:left w:val="nil"/>
          <w:bottom w:val="nil"/>
          <w:right w:val="nil"/>
          <w:between w:val="nil"/>
        </w:pBdr>
        <w:ind w:left="425"/>
      </w:pPr>
      <w:r>
        <w:t xml:space="preserve">provide time and resources – poi, coconut cups, fans – for </w:t>
      </w:r>
      <w:proofErr w:type="spellStart"/>
      <w:r>
        <w:t>tamariki</w:t>
      </w:r>
      <w:proofErr w:type="spellEnd"/>
      <w:r>
        <w:t xml:space="preserve"> to explore </w:t>
      </w:r>
    </w:p>
    <w:p w14:paraId="3E7D5FD1" w14:textId="77777777" w:rsidR="00EF392D" w:rsidRDefault="00BC2E40">
      <w:pPr>
        <w:numPr>
          <w:ilvl w:val="0"/>
          <w:numId w:val="3"/>
        </w:numPr>
        <w:pBdr>
          <w:top w:val="nil"/>
          <w:left w:val="nil"/>
          <w:bottom w:val="nil"/>
          <w:right w:val="nil"/>
          <w:between w:val="nil"/>
        </w:pBdr>
        <w:ind w:left="425"/>
      </w:pPr>
      <w:r>
        <w:t>give</w:t>
      </w:r>
      <w:r>
        <w:rPr>
          <w:color w:val="000000"/>
        </w:rPr>
        <w:t xml:space="preserve"> </w:t>
      </w:r>
      <w:proofErr w:type="spellStart"/>
      <w:r>
        <w:rPr>
          <w:color w:val="000000"/>
        </w:rPr>
        <w:t>tamariki</w:t>
      </w:r>
      <w:proofErr w:type="spellEnd"/>
      <w:r>
        <w:rPr>
          <w:color w:val="000000"/>
        </w:rPr>
        <w:t xml:space="preserve"> </w:t>
      </w:r>
      <w:r>
        <w:t xml:space="preserve">opportunities </w:t>
      </w:r>
      <w:r>
        <w:rPr>
          <w:color w:val="000000"/>
        </w:rPr>
        <w:t xml:space="preserve">to see, hear, and respond </w:t>
      </w:r>
      <w:r>
        <w:t xml:space="preserve">to </w:t>
      </w:r>
      <w:r>
        <w:rPr>
          <w:color w:val="000000"/>
        </w:rPr>
        <w:t xml:space="preserve">music that reflects their age, </w:t>
      </w:r>
      <w:proofErr w:type="spellStart"/>
      <w:r>
        <w:rPr>
          <w:color w:val="000000"/>
        </w:rPr>
        <w:t>wh</w:t>
      </w:r>
      <w:r>
        <w:t>ā</w:t>
      </w:r>
      <w:r>
        <w:rPr>
          <w:color w:val="000000"/>
        </w:rPr>
        <w:t>nau</w:t>
      </w:r>
      <w:proofErr w:type="spellEnd"/>
      <w:r>
        <w:rPr>
          <w:color w:val="000000"/>
        </w:rPr>
        <w:t>, and culture</w:t>
      </w:r>
    </w:p>
    <w:p w14:paraId="6AD1A0AE" w14:textId="77777777" w:rsidR="00EF392D" w:rsidRDefault="00BC2E40">
      <w:pPr>
        <w:numPr>
          <w:ilvl w:val="0"/>
          <w:numId w:val="3"/>
        </w:numPr>
        <w:ind w:left="425"/>
      </w:pPr>
      <w:r>
        <w:t xml:space="preserve">encourage informal </w:t>
      </w:r>
      <w:proofErr w:type="spellStart"/>
      <w:r>
        <w:t>dramatisation</w:t>
      </w:r>
      <w:proofErr w:type="spellEnd"/>
      <w:r>
        <w:t xml:space="preserve"> of rhymes, fables, </w:t>
      </w:r>
      <w:proofErr w:type="spellStart"/>
      <w:r>
        <w:t>pūrākau</w:t>
      </w:r>
      <w:proofErr w:type="spellEnd"/>
      <w:r>
        <w:t xml:space="preserve">, and books that </w:t>
      </w:r>
      <w:proofErr w:type="spellStart"/>
      <w:r>
        <w:t>tamariki</w:t>
      </w:r>
      <w:proofErr w:type="spellEnd"/>
      <w:r>
        <w:t xml:space="preserve"> like</w:t>
      </w:r>
    </w:p>
    <w:p w14:paraId="070E1632" w14:textId="77777777" w:rsidR="00EF392D" w:rsidRDefault="00BC2E40">
      <w:pPr>
        <w:numPr>
          <w:ilvl w:val="0"/>
          <w:numId w:val="3"/>
        </w:numPr>
        <w:pBdr>
          <w:top w:val="nil"/>
          <w:left w:val="nil"/>
          <w:bottom w:val="nil"/>
          <w:right w:val="nil"/>
          <w:between w:val="nil"/>
        </w:pBdr>
        <w:ind w:left="425"/>
      </w:pPr>
      <w:r>
        <w:rPr>
          <w:color w:val="000000"/>
        </w:rPr>
        <w:t xml:space="preserve">engage in dance with </w:t>
      </w:r>
      <w:proofErr w:type="spellStart"/>
      <w:r>
        <w:t>tamariki</w:t>
      </w:r>
      <w:proofErr w:type="spellEnd"/>
      <w:r>
        <w:t>, and role model</w:t>
      </w:r>
      <w:r>
        <w:rPr>
          <w:color w:val="000000"/>
        </w:rPr>
        <w:t xml:space="preserve"> different movements</w:t>
      </w:r>
    </w:p>
    <w:p w14:paraId="42762DB1" w14:textId="77777777" w:rsidR="00EF392D" w:rsidRDefault="00BC2E40">
      <w:pPr>
        <w:numPr>
          <w:ilvl w:val="0"/>
          <w:numId w:val="3"/>
        </w:numPr>
        <w:ind w:left="425"/>
      </w:pPr>
      <w:r>
        <w:t xml:space="preserve">engage </w:t>
      </w:r>
      <w:proofErr w:type="spellStart"/>
      <w:r>
        <w:t>tamariki</w:t>
      </w:r>
      <w:proofErr w:type="spellEnd"/>
      <w:r>
        <w:t xml:space="preserve"> in mindfulness and breathing activities such as </w:t>
      </w:r>
      <w:proofErr w:type="spellStart"/>
      <w:r>
        <w:t>hikitia</w:t>
      </w:r>
      <w:proofErr w:type="spellEnd"/>
      <w:r>
        <w:t xml:space="preserve"> </w:t>
      </w:r>
      <w:proofErr w:type="spellStart"/>
      <w:r>
        <w:t>te</w:t>
      </w:r>
      <w:proofErr w:type="spellEnd"/>
      <w:r>
        <w:t xml:space="preserve"> </w:t>
      </w:r>
      <w:proofErr w:type="spellStart"/>
      <w:r>
        <w:t>hā</w:t>
      </w:r>
      <w:proofErr w:type="spellEnd"/>
      <w:r>
        <w:t xml:space="preserve"> or yoga</w:t>
      </w:r>
    </w:p>
    <w:p w14:paraId="4AC3BB9D" w14:textId="77777777" w:rsidR="00EF392D" w:rsidRDefault="00BC2E40">
      <w:pPr>
        <w:numPr>
          <w:ilvl w:val="0"/>
          <w:numId w:val="3"/>
        </w:numPr>
        <w:pBdr>
          <w:top w:val="nil"/>
          <w:left w:val="nil"/>
          <w:bottom w:val="nil"/>
          <w:right w:val="nil"/>
          <w:between w:val="nil"/>
        </w:pBdr>
        <w:ind w:left="425"/>
      </w:pPr>
      <w:r>
        <w:t>intentionally prepare for opportunities to use finger plays, body rhymes, action songs</w:t>
      </w:r>
    </w:p>
    <w:p w14:paraId="5201477B" w14:textId="77777777" w:rsidR="00EF392D" w:rsidRDefault="00BC2E40">
      <w:pPr>
        <w:numPr>
          <w:ilvl w:val="0"/>
          <w:numId w:val="3"/>
        </w:numPr>
        <w:pBdr>
          <w:top w:val="nil"/>
          <w:left w:val="nil"/>
          <w:bottom w:val="nil"/>
          <w:right w:val="nil"/>
          <w:between w:val="nil"/>
        </w:pBdr>
        <w:ind w:left="425"/>
      </w:pPr>
      <w:r>
        <w:rPr>
          <w:color w:val="000000"/>
        </w:rPr>
        <w:t>intentionally plan for dramatic experiences</w:t>
      </w:r>
      <w:r>
        <w:t>, f</w:t>
      </w:r>
      <w:r>
        <w:rPr>
          <w:color w:val="000000"/>
        </w:rPr>
        <w:t>or example providing props and costumes</w:t>
      </w:r>
      <w:r>
        <w:t>.</w:t>
      </w:r>
      <w:r>
        <w:rPr>
          <w:color w:val="000000"/>
        </w:rPr>
        <w:t xml:space="preserve"> </w:t>
      </w:r>
    </w:p>
    <w:p w14:paraId="16202489" w14:textId="77777777" w:rsidR="00EF392D" w:rsidRDefault="00BC2E40">
      <w:pPr>
        <w:pStyle w:val="Heading3"/>
      </w:pPr>
      <w:bookmarkStart w:id="8" w:name="_mz9hdjx9ugqo" w:colFirst="0" w:colLast="0"/>
      <w:bookmarkEnd w:id="8"/>
      <w:r>
        <w:t xml:space="preserve">Sharing with </w:t>
      </w:r>
      <w:proofErr w:type="spellStart"/>
      <w:r>
        <w:t>whānau</w:t>
      </w:r>
      <w:proofErr w:type="spellEnd"/>
      <w:r>
        <w:t xml:space="preserve"> and parents</w:t>
      </w:r>
    </w:p>
    <w:p w14:paraId="6A264FFE" w14:textId="77777777" w:rsidR="00EF392D" w:rsidRDefault="00BC2E40">
      <w:r>
        <w:t xml:space="preserve">Kaiako can partner with </w:t>
      </w:r>
      <w:proofErr w:type="spellStart"/>
      <w:r>
        <w:t>whānau</w:t>
      </w:r>
      <w:proofErr w:type="spellEnd"/>
      <w:r>
        <w:t xml:space="preserve"> to:</w:t>
      </w:r>
    </w:p>
    <w:p w14:paraId="5AD7B444" w14:textId="77777777" w:rsidR="00EF392D" w:rsidRDefault="00BC2E40">
      <w:pPr>
        <w:numPr>
          <w:ilvl w:val="0"/>
          <w:numId w:val="3"/>
        </w:numPr>
        <w:pBdr>
          <w:top w:val="nil"/>
          <w:left w:val="nil"/>
          <w:bottom w:val="nil"/>
          <w:right w:val="nil"/>
          <w:between w:val="nil"/>
        </w:pBdr>
        <w:ind w:left="425"/>
      </w:pPr>
      <w:r>
        <w:t xml:space="preserve">build on children’s prior experiences of dance, music, and drama and </w:t>
      </w:r>
      <w:proofErr w:type="spellStart"/>
      <w:r>
        <w:t>whānau</w:t>
      </w:r>
      <w:proofErr w:type="spellEnd"/>
      <w:r>
        <w:t xml:space="preserve"> expertise</w:t>
      </w:r>
    </w:p>
    <w:p w14:paraId="202B6B3F" w14:textId="77777777" w:rsidR="00EF392D" w:rsidRDefault="00BC2E40">
      <w:pPr>
        <w:numPr>
          <w:ilvl w:val="0"/>
          <w:numId w:val="3"/>
        </w:numPr>
        <w:pBdr>
          <w:top w:val="nil"/>
          <w:left w:val="nil"/>
          <w:bottom w:val="nil"/>
          <w:right w:val="nil"/>
          <w:between w:val="nil"/>
        </w:pBdr>
        <w:ind w:left="425"/>
      </w:pPr>
      <w:r>
        <w:t xml:space="preserve">create opportunities for </w:t>
      </w:r>
      <w:proofErr w:type="spellStart"/>
      <w:r>
        <w:t>tamariki</w:t>
      </w:r>
      <w:proofErr w:type="spellEnd"/>
      <w:r>
        <w:t xml:space="preserve"> to share their dance, music, and drama with the community. </w:t>
      </w:r>
      <w:r>
        <w:br w:type="column"/>
      </w:r>
    </w:p>
    <w:p w14:paraId="3CBE21DC" w14:textId="77777777" w:rsidR="00EF392D" w:rsidRDefault="00EF392D">
      <w:pPr>
        <w:pStyle w:val="Heading2"/>
      </w:pPr>
      <w:bookmarkStart w:id="9" w:name="_20h0hyfrvvu5" w:colFirst="0" w:colLast="0"/>
      <w:bookmarkEnd w:id="9"/>
    </w:p>
    <w:p w14:paraId="6525C3D2" w14:textId="77777777" w:rsidR="00EF392D" w:rsidRDefault="00BC2E40">
      <w:pPr>
        <w:pStyle w:val="Heading3"/>
        <w:spacing w:before="0"/>
        <w:ind w:right="1056"/>
        <w:rPr>
          <w:i/>
        </w:rPr>
      </w:pPr>
      <w:bookmarkStart w:id="10" w:name="_1esj5dm6kpz5" w:colFirst="0" w:colLast="0"/>
      <w:bookmarkEnd w:id="10"/>
      <w:r>
        <w:rPr>
          <w:i/>
        </w:rPr>
        <w:t xml:space="preserve">Do you hear me? </w:t>
      </w:r>
    </w:p>
    <w:p w14:paraId="74D63364" w14:textId="77777777" w:rsidR="00EF392D" w:rsidRDefault="00BC2E40">
      <w:pPr>
        <w:pStyle w:val="Heading3"/>
        <w:spacing w:after="0"/>
        <w:ind w:right="1056"/>
        <w:rPr>
          <w:i/>
        </w:rPr>
      </w:pPr>
      <w:bookmarkStart w:id="11" w:name="_4s2mjynwh30s" w:colFirst="0" w:colLast="0"/>
      <w:bookmarkEnd w:id="11"/>
      <w:r>
        <w:rPr>
          <w:i/>
        </w:rPr>
        <w:t xml:space="preserve">Ka </w:t>
      </w:r>
      <w:proofErr w:type="spellStart"/>
      <w:r>
        <w:rPr>
          <w:i/>
        </w:rPr>
        <w:t>rongo</w:t>
      </w:r>
      <w:proofErr w:type="spellEnd"/>
      <w:r>
        <w:rPr>
          <w:i/>
        </w:rPr>
        <w:t xml:space="preserve"> </w:t>
      </w:r>
      <w:proofErr w:type="spellStart"/>
      <w:r>
        <w:rPr>
          <w:i/>
        </w:rPr>
        <w:t>rānei</w:t>
      </w:r>
      <w:proofErr w:type="spellEnd"/>
      <w:r>
        <w:rPr>
          <w:i/>
        </w:rPr>
        <w:t xml:space="preserve"> </w:t>
      </w:r>
      <w:proofErr w:type="spellStart"/>
      <w:r>
        <w:rPr>
          <w:i/>
        </w:rPr>
        <w:t>koe</w:t>
      </w:r>
      <w:proofErr w:type="spellEnd"/>
      <w:r>
        <w:rPr>
          <w:i/>
        </w:rPr>
        <w:t xml:space="preserve"> </w:t>
      </w:r>
      <w:proofErr w:type="spellStart"/>
      <w:r>
        <w:rPr>
          <w:i/>
        </w:rPr>
        <w:t>i</w:t>
      </w:r>
      <w:proofErr w:type="spellEnd"/>
      <w:r>
        <w:rPr>
          <w:i/>
        </w:rPr>
        <w:t xml:space="preserve"> ahau?</w:t>
      </w:r>
    </w:p>
    <w:p w14:paraId="587E76F1" w14:textId="77777777" w:rsidR="00EF392D" w:rsidRDefault="00BC2E40">
      <w:pPr>
        <w:pStyle w:val="Heading3"/>
        <w:ind w:right="1056"/>
        <w:rPr>
          <w:i/>
        </w:rPr>
      </w:pPr>
      <w:bookmarkStart w:id="12" w:name="_94q2l15q0t2o" w:colFirst="0" w:colLast="0"/>
      <w:bookmarkEnd w:id="12"/>
      <w:r>
        <w:rPr>
          <w:i/>
        </w:rPr>
        <w:t xml:space="preserve">O e </w:t>
      </w:r>
      <w:proofErr w:type="spellStart"/>
      <w:r>
        <w:rPr>
          <w:i/>
        </w:rPr>
        <w:t>lagona</w:t>
      </w:r>
      <w:proofErr w:type="spellEnd"/>
      <w:r>
        <w:rPr>
          <w:i/>
        </w:rPr>
        <w:t xml:space="preserve"> </w:t>
      </w:r>
      <w:proofErr w:type="spellStart"/>
      <w:r>
        <w:rPr>
          <w:i/>
        </w:rPr>
        <w:t>mai</w:t>
      </w:r>
      <w:proofErr w:type="spellEnd"/>
      <w:r>
        <w:rPr>
          <w:i/>
        </w:rPr>
        <w:t xml:space="preserve"> </w:t>
      </w:r>
      <w:proofErr w:type="spellStart"/>
      <w:r>
        <w:rPr>
          <w:i/>
        </w:rPr>
        <w:t>a’u</w:t>
      </w:r>
      <w:proofErr w:type="spellEnd"/>
      <w:r>
        <w:rPr>
          <w:i/>
        </w:rPr>
        <w:t>?</w:t>
      </w:r>
    </w:p>
    <w:p w14:paraId="06A5DFE2" w14:textId="77777777" w:rsidR="00EF392D" w:rsidRDefault="00BC2E40">
      <w:pPr>
        <w:pStyle w:val="Heading3"/>
        <w:ind w:right="1056"/>
        <w:rPr>
          <w:i/>
        </w:rPr>
      </w:pPr>
      <w:bookmarkStart w:id="13" w:name="_8ttwmaom7ztg" w:colFirst="0" w:colLast="0"/>
      <w:bookmarkEnd w:id="13"/>
      <w:proofErr w:type="spellStart"/>
      <w:r>
        <w:rPr>
          <w:i/>
        </w:rPr>
        <w:t>Ke</w:t>
      </w:r>
      <w:proofErr w:type="spellEnd"/>
      <w:r>
        <w:rPr>
          <w:i/>
        </w:rPr>
        <w:t xml:space="preserve"> </w:t>
      </w:r>
      <w:proofErr w:type="spellStart"/>
      <w:r>
        <w:rPr>
          <w:i/>
        </w:rPr>
        <w:t>fanongo</w:t>
      </w:r>
      <w:proofErr w:type="spellEnd"/>
      <w:r>
        <w:rPr>
          <w:i/>
        </w:rPr>
        <w:t xml:space="preserve"> </w:t>
      </w:r>
      <w:proofErr w:type="spellStart"/>
      <w:r>
        <w:rPr>
          <w:i/>
        </w:rPr>
        <w:t>mai</w:t>
      </w:r>
      <w:proofErr w:type="spellEnd"/>
      <w:r>
        <w:rPr>
          <w:i/>
        </w:rPr>
        <w:t xml:space="preserve"> </w:t>
      </w:r>
      <w:proofErr w:type="spellStart"/>
      <w:r>
        <w:rPr>
          <w:i/>
        </w:rPr>
        <w:t>kiate</w:t>
      </w:r>
      <w:proofErr w:type="spellEnd"/>
      <w:r>
        <w:rPr>
          <w:i/>
        </w:rPr>
        <w:t xml:space="preserve"> au?</w:t>
      </w:r>
    </w:p>
    <w:p w14:paraId="248A9CE5" w14:textId="77777777" w:rsidR="00EF392D" w:rsidRDefault="00BC2E40">
      <w:pPr>
        <w:pStyle w:val="Heading3"/>
        <w:ind w:right="1056"/>
        <w:rPr>
          <w:i/>
        </w:rPr>
      </w:pPr>
      <w:bookmarkStart w:id="14" w:name="_ptv41qh7x1np" w:colFirst="0" w:colLast="0"/>
      <w:bookmarkEnd w:id="14"/>
      <w:proofErr w:type="spellStart"/>
      <w:r>
        <w:rPr>
          <w:i/>
        </w:rPr>
        <w:t>Logona</w:t>
      </w:r>
      <w:proofErr w:type="spellEnd"/>
      <w:r>
        <w:rPr>
          <w:i/>
        </w:rPr>
        <w:t xml:space="preserve"> </w:t>
      </w:r>
      <w:proofErr w:type="spellStart"/>
      <w:r>
        <w:rPr>
          <w:i/>
        </w:rPr>
        <w:t>nakai</w:t>
      </w:r>
      <w:proofErr w:type="spellEnd"/>
      <w:r>
        <w:rPr>
          <w:i/>
        </w:rPr>
        <w:t xml:space="preserve"> e </w:t>
      </w:r>
      <w:proofErr w:type="spellStart"/>
      <w:r>
        <w:rPr>
          <w:i/>
        </w:rPr>
        <w:t>koe</w:t>
      </w:r>
      <w:proofErr w:type="spellEnd"/>
      <w:r>
        <w:rPr>
          <w:i/>
        </w:rPr>
        <w:t xml:space="preserve"> au?</w:t>
      </w:r>
    </w:p>
    <w:p w14:paraId="74B1D514" w14:textId="77777777" w:rsidR="00EF392D" w:rsidRDefault="00BC2E40">
      <w:pPr>
        <w:pStyle w:val="Heading3"/>
        <w:ind w:right="1056"/>
        <w:rPr>
          <w:i/>
        </w:rPr>
      </w:pPr>
      <w:bookmarkStart w:id="15" w:name="_eun9bkulddd7" w:colFirst="0" w:colLast="0"/>
      <w:bookmarkEnd w:id="15"/>
      <w:r>
        <w:rPr>
          <w:i/>
        </w:rPr>
        <w:t xml:space="preserve">E </w:t>
      </w:r>
      <w:proofErr w:type="spellStart"/>
      <w:r>
        <w:rPr>
          <w:i/>
        </w:rPr>
        <w:t>kē</w:t>
      </w:r>
      <w:proofErr w:type="spellEnd"/>
      <w:r>
        <w:rPr>
          <w:i/>
        </w:rPr>
        <w:t xml:space="preserve"> </w:t>
      </w:r>
      <w:proofErr w:type="spellStart"/>
      <w:r>
        <w:rPr>
          <w:i/>
        </w:rPr>
        <w:t>lagona</w:t>
      </w:r>
      <w:proofErr w:type="spellEnd"/>
      <w:r>
        <w:rPr>
          <w:i/>
        </w:rPr>
        <w:t xml:space="preserve"> </w:t>
      </w:r>
      <w:proofErr w:type="spellStart"/>
      <w:r>
        <w:rPr>
          <w:i/>
        </w:rPr>
        <w:t>mai</w:t>
      </w:r>
      <w:proofErr w:type="spellEnd"/>
      <w:r>
        <w:rPr>
          <w:i/>
        </w:rPr>
        <w:t xml:space="preserve"> au?</w:t>
      </w:r>
    </w:p>
    <w:p w14:paraId="654862F0" w14:textId="77777777" w:rsidR="00EF392D" w:rsidRDefault="00EF392D"/>
    <w:p w14:paraId="25088900" w14:textId="77777777" w:rsidR="00EF392D" w:rsidRDefault="00BC2E40">
      <w:pPr>
        <w:pStyle w:val="Heading3"/>
        <w:rPr>
          <w:color w:val="6AA84F"/>
          <w:sz w:val="32"/>
          <w:szCs w:val="32"/>
        </w:rPr>
      </w:pPr>
      <w:bookmarkStart w:id="16" w:name="_mex6eig3ty1d" w:colFirst="0" w:colLast="0"/>
      <w:bookmarkEnd w:id="16"/>
      <w:r>
        <w:rPr>
          <w:color w:val="6AA84F"/>
          <w:sz w:val="32"/>
          <w:szCs w:val="32"/>
        </w:rPr>
        <w:t>Further information</w:t>
      </w:r>
    </w:p>
    <w:p w14:paraId="537C897C" w14:textId="77777777" w:rsidR="00EF392D" w:rsidRDefault="00BC2E40">
      <w:pPr>
        <w:pStyle w:val="Heading3"/>
        <w:rPr>
          <w:color w:val="134F5C"/>
          <w:sz w:val="24"/>
          <w:szCs w:val="24"/>
        </w:rPr>
      </w:pPr>
      <w:bookmarkStart w:id="17" w:name="_cudnbzotx34p" w:colFirst="0" w:colLast="0"/>
      <w:bookmarkEnd w:id="17"/>
      <w:r>
        <w:rPr>
          <w:color w:val="134F5C"/>
          <w:sz w:val="24"/>
          <w:szCs w:val="24"/>
        </w:rPr>
        <w:t>Video and websites</w:t>
      </w:r>
    </w:p>
    <w:p w14:paraId="6BB334A2" w14:textId="77777777" w:rsidR="00EF392D" w:rsidRDefault="00BC2E40">
      <w:pPr>
        <w:spacing w:after="120"/>
      </w:pPr>
      <w:r>
        <w:t xml:space="preserve">This information sheet expands on the video Do you hear me? Watch the video for examples of </w:t>
      </w:r>
      <w:proofErr w:type="spellStart"/>
      <w:r>
        <w:t>kaiako</w:t>
      </w:r>
      <w:proofErr w:type="spellEnd"/>
      <w:r>
        <w:t xml:space="preserve"> supporting </w:t>
      </w:r>
      <w:proofErr w:type="spellStart"/>
      <w:r>
        <w:t>tamariki</w:t>
      </w:r>
      <w:proofErr w:type="spellEnd"/>
      <w:r>
        <w:t xml:space="preserve"> to engage in dance, music and drama.</w:t>
      </w:r>
    </w:p>
    <w:p w14:paraId="3BD2EFEA" w14:textId="77777777" w:rsidR="00310955" w:rsidRDefault="0016007D" w:rsidP="00310955">
      <w:pPr>
        <w:numPr>
          <w:ilvl w:val="0"/>
          <w:numId w:val="5"/>
        </w:numPr>
        <w:spacing w:after="120"/>
        <w:ind w:left="425"/>
      </w:pPr>
      <w:hyperlink r:id="rId13" w:history="1">
        <w:r w:rsidR="00310955">
          <w:rPr>
            <w:rStyle w:val="Hyperlink"/>
          </w:rPr>
          <w:t>https://tewhariki.tki.org.nz/kia-kori-tahi/</w:t>
        </w:r>
      </w:hyperlink>
    </w:p>
    <w:p w14:paraId="26F40403" w14:textId="77777777" w:rsidR="00EF392D" w:rsidRDefault="00BC2E40">
      <w:pPr>
        <w:spacing w:after="120"/>
      </w:pPr>
      <w:r>
        <w:t>The following websites provide information related to the senses and rhythmic movement:</w:t>
      </w:r>
    </w:p>
    <w:p w14:paraId="7A4AB90F" w14:textId="77777777" w:rsidR="00EF392D" w:rsidRDefault="00BC2E40">
      <w:pPr>
        <w:numPr>
          <w:ilvl w:val="0"/>
          <w:numId w:val="1"/>
        </w:numPr>
        <w:spacing w:after="0"/>
        <w:ind w:left="425"/>
      </w:pPr>
      <w:r>
        <w:t xml:space="preserve">All Right? – Hikitia </w:t>
      </w:r>
      <w:proofErr w:type="spellStart"/>
      <w:r>
        <w:t>te</w:t>
      </w:r>
      <w:proofErr w:type="spellEnd"/>
      <w:r>
        <w:t xml:space="preserve"> </w:t>
      </w:r>
      <w:proofErr w:type="spellStart"/>
      <w:r>
        <w:t>Hā</w:t>
      </w:r>
      <w:proofErr w:type="spellEnd"/>
      <w:r>
        <w:t xml:space="preserve"> </w:t>
      </w:r>
      <w:hyperlink r:id="rId14">
        <w:r w:rsidRPr="0016007D">
          <w:rPr>
            <w:rStyle w:val="Hyperlink"/>
          </w:rPr>
          <w:t>allright.org.nz/tools/</w:t>
        </w:r>
        <w:proofErr w:type="spellStart"/>
        <w:r w:rsidRPr="0016007D">
          <w:rPr>
            <w:rStyle w:val="Hyperlink"/>
          </w:rPr>
          <w:t>hikitia</w:t>
        </w:r>
        <w:proofErr w:type="spellEnd"/>
        <w:r w:rsidRPr="0016007D">
          <w:rPr>
            <w:rStyle w:val="Hyperlink"/>
          </w:rPr>
          <w:t>-</w:t>
        </w:r>
        <w:proofErr w:type="spellStart"/>
        <w:r w:rsidRPr="0016007D">
          <w:rPr>
            <w:rStyle w:val="Hyperlink"/>
          </w:rPr>
          <w:t>te</w:t>
        </w:r>
        <w:proofErr w:type="spellEnd"/>
        <w:r w:rsidRPr="0016007D">
          <w:rPr>
            <w:rStyle w:val="Hyperlink"/>
          </w:rPr>
          <w:t>-ha</w:t>
        </w:r>
      </w:hyperlink>
    </w:p>
    <w:p w14:paraId="1FAA69B7" w14:textId="77777777" w:rsidR="00EF392D" w:rsidRDefault="00BC2E40">
      <w:pPr>
        <w:numPr>
          <w:ilvl w:val="0"/>
          <w:numId w:val="1"/>
        </w:numPr>
        <w:ind w:left="425"/>
        <w:sectPr w:rsidR="00EF392D">
          <w:type w:val="continuous"/>
          <w:pgSz w:w="11906" w:h="16838"/>
          <w:pgMar w:top="566" w:right="566" w:bottom="566" w:left="566" w:header="708" w:footer="141" w:gutter="0"/>
          <w:cols w:num="2" w:sep="1" w:space="720" w:equalWidth="0">
            <w:col w:w="5025" w:space="720"/>
            <w:col w:w="5025" w:space="0"/>
          </w:cols>
        </w:sectPr>
      </w:pPr>
      <w:proofErr w:type="spellStart"/>
      <w:r>
        <w:t>Te</w:t>
      </w:r>
      <w:proofErr w:type="spellEnd"/>
      <w:r>
        <w:t xml:space="preserve"> </w:t>
      </w:r>
      <w:proofErr w:type="spellStart"/>
      <w:r>
        <w:t>Whāriki</w:t>
      </w:r>
      <w:proofErr w:type="spellEnd"/>
      <w:r>
        <w:t xml:space="preserve"> Online – Storytelling and oral language </w:t>
      </w:r>
      <w:hyperlink r:id="rId15">
        <w:r w:rsidRPr="0016007D">
          <w:rPr>
            <w:rStyle w:val="Hyperlink"/>
          </w:rPr>
          <w:t>tewhariki.tki.org.nz/en/teaching-strategies-and-resources/communication/talking-together/talk-tools/storytelling-and-oral-language/</w:t>
        </w:r>
      </w:hyperlink>
      <w:r>
        <w:t xml:space="preserve"> </w:t>
      </w:r>
    </w:p>
    <w:p w14:paraId="67A64F4B" w14:textId="77777777" w:rsidR="00EF392D" w:rsidRDefault="0016007D">
      <w:pPr>
        <w:pStyle w:val="Heading3"/>
        <w:spacing w:after="0"/>
      </w:pPr>
      <w:bookmarkStart w:id="18" w:name="_p9p55xx3bfll" w:colFirst="0" w:colLast="0"/>
      <w:bookmarkEnd w:id="18"/>
      <w:r>
        <w:rPr>
          <w:noProof/>
        </w:rPr>
      </w:r>
      <w:r w:rsidR="0016007D">
        <w:rPr>
          <w:noProof/>
        </w:rPr>
        <w:pict w14:anchorId="4EDBB9B0">
          <v:rect id="_x0000_i1026" alt="" style="width:468pt;height:.05pt;mso-width-percent:0;mso-height-percent:0;mso-width-percent:0;mso-height-percent:0" o:hralign="center" o:hrstd="t" o:hr="t" fillcolor="#a0a0a0" stroked="f"/>
        </w:pict>
      </w:r>
    </w:p>
    <w:p w14:paraId="723CEAD3" w14:textId="77777777" w:rsidR="00EF392D" w:rsidRDefault="00BC2E40">
      <w:pPr>
        <w:pStyle w:val="Heading3"/>
        <w:spacing w:after="0"/>
      </w:pPr>
      <w:bookmarkStart w:id="19" w:name="_gsxakyqpysgj" w:colFirst="0" w:colLast="0"/>
      <w:bookmarkEnd w:id="19"/>
      <w:proofErr w:type="spellStart"/>
      <w:r>
        <w:t>Te</w:t>
      </w:r>
      <w:proofErr w:type="spellEnd"/>
      <w:r>
        <w:t xml:space="preserve"> </w:t>
      </w:r>
      <w:proofErr w:type="spellStart"/>
      <w:r>
        <w:t>ao</w:t>
      </w:r>
      <w:proofErr w:type="spellEnd"/>
      <w:r>
        <w:t xml:space="preserve"> </w:t>
      </w:r>
      <w:proofErr w:type="spellStart"/>
      <w:r>
        <w:t>kori</w:t>
      </w:r>
      <w:proofErr w:type="spellEnd"/>
    </w:p>
    <w:p w14:paraId="2609A727" w14:textId="77777777" w:rsidR="00EF392D" w:rsidRDefault="00BC2E40">
      <w:pPr>
        <w:rPr>
          <w:i/>
        </w:rPr>
      </w:pPr>
      <w:r>
        <w:rPr>
          <w:i/>
        </w:rPr>
        <w:t xml:space="preserve">Kia </w:t>
      </w:r>
      <w:proofErr w:type="spellStart"/>
      <w:r>
        <w:rPr>
          <w:i/>
        </w:rPr>
        <w:t>kawea</w:t>
      </w:r>
      <w:proofErr w:type="spellEnd"/>
      <w:r>
        <w:rPr>
          <w:i/>
        </w:rPr>
        <w:t xml:space="preserve"> </w:t>
      </w:r>
      <w:proofErr w:type="spellStart"/>
      <w:r>
        <w:rPr>
          <w:i/>
        </w:rPr>
        <w:t>tātou</w:t>
      </w:r>
      <w:proofErr w:type="spellEnd"/>
      <w:r>
        <w:rPr>
          <w:i/>
        </w:rPr>
        <w:t xml:space="preserve"> e </w:t>
      </w:r>
      <w:proofErr w:type="spellStart"/>
      <w:r>
        <w:rPr>
          <w:i/>
        </w:rPr>
        <w:t>te</w:t>
      </w:r>
      <w:proofErr w:type="spellEnd"/>
      <w:r>
        <w:rPr>
          <w:i/>
        </w:rPr>
        <w:t xml:space="preserve"> </w:t>
      </w:r>
      <w:proofErr w:type="spellStart"/>
      <w:r>
        <w:rPr>
          <w:i/>
        </w:rPr>
        <w:t>rēhia</w:t>
      </w:r>
      <w:proofErr w:type="spellEnd"/>
      <w:r>
        <w:rPr>
          <w:i/>
        </w:rPr>
        <w:t xml:space="preserve"> – Let us be taken by the spirit of joy, of entertainment</w:t>
      </w:r>
    </w:p>
    <w:p w14:paraId="5B5E3871" w14:textId="77777777" w:rsidR="00EF392D" w:rsidRDefault="00BC2E40">
      <w:r>
        <w:t>“</w:t>
      </w:r>
      <w:proofErr w:type="spellStart"/>
      <w:r>
        <w:t>Te</w:t>
      </w:r>
      <w:proofErr w:type="spellEnd"/>
      <w:r>
        <w:t xml:space="preserve"> </w:t>
      </w:r>
      <w:proofErr w:type="spellStart"/>
      <w:r>
        <w:t>ao</w:t>
      </w:r>
      <w:proofErr w:type="spellEnd"/>
      <w:r>
        <w:t xml:space="preserve"> </w:t>
      </w:r>
      <w:proofErr w:type="spellStart"/>
      <w:r>
        <w:t>kori</w:t>
      </w:r>
      <w:proofErr w:type="spellEnd"/>
      <w:r>
        <w:t xml:space="preserve">, the world of movement, is a Māori celebration of life through movement and its many expressions. Throughout history, Māori have developed ways to sharpen mental and physical agility, hand-eye coordination, and a sense of wellbeing. The environment has inspired a wide range of movements, games, competitions, dance, song, fun, and enjoyment – a celebration of life.” </w:t>
      </w:r>
    </w:p>
    <w:p w14:paraId="48A82682" w14:textId="77777777" w:rsidR="00EF392D" w:rsidRPr="0016007D" w:rsidRDefault="0016007D">
      <w:pPr>
        <w:rPr>
          <w:rStyle w:val="Hyperlink"/>
        </w:rPr>
      </w:pPr>
      <w:hyperlink r:id="rId16">
        <w:r w:rsidR="00BC2E40" w:rsidRPr="0016007D">
          <w:rPr>
            <w:rStyle w:val="Hyperlink"/>
          </w:rPr>
          <w:t xml:space="preserve">health.tki.org.nz/Key-collections/Exploring-te-ao-kori/What-is-te-ao-kori </w:t>
        </w:r>
      </w:hyperlink>
    </w:p>
    <w:sectPr w:rsidR="00EF392D" w:rsidRPr="0016007D">
      <w:type w:val="continuous"/>
      <w:pgSz w:w="11906" w:h="16838"/>
      <w:pgMar w:top="566" w:right="566" w:bottom="566" w:left="566" w:header="708" w:footer="708" w:gutter="0"/>
      <w:cols w:space="720" w:equalWidth="0">
        <w:col w:w="107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6D6F" w14:textId="77777777" w:rsidR="00BE7822" w:rsidRDefault="00BE7822">
      <w:pPr>
        <w:spacing w:after="0" w:line="240" w:lineRule="auto"/>
      </w:pPr>
      <w:r>
        <w:separator/>
      </w:r>
    </w:p>
  </w:endnote>
  <w:endnote w:type="continuationSeparator" w:id="0">
    <w:p w14:paraId="4BE6891C" w14:textId="77777777" w:rsidR="00BE7822" w:rsidRDefault="00BE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78BF" w14:textId="77777777" w:rsidR="009202E3" w:rsidRDefault="0092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602" w14:textId="77777777" w:rsidR="00EF392D" w:rsidRDefault="00BC2E40">
    <w:r>
      <w:rPr>
        <w:noProof/>
      </w:rPr>
      <w:drawing>
        <wp:inline distT="114300" distB="114300" distL="114300" distR="114300" wp14:anchorId="2B05F2B6" wp14:editId="1E3CF98D">
          <wp:extent cx="6840000" cy="431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40000" cy="4318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4A3A" w14:textId="77777777" w:rsidR="009202E3" w:rsidRDefault="0092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AAEA" w14:textId="77777777" w:rsidR="00BE7822" w:rsidRDefault="00BE7822">
      <w:pPr>
        <w:spacing w:after="0" w:line="240" w:lineRule="auto"/>
      </w:pPr>
      <w:r>
        <w:separator/>
      </w:r>
    </w:p>
  </w:footnote>
  <w:footnote w:type="continuationSeparator" w:id="0">
    <w:p w14:paraId="11C1958A" w14:textId="77777777" w:rsidR="00BE7822" w:rsidRDefault="00BE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44E7" w14:textId="77777777" w:rsidR="009202E3" w:rsidRDefault="0092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ABEB" w14:textId="49479479" w:rsidR="00BC2E40" w:rsidRDefault="00BC2E40">
    <w:pPr>
      <w:pStyle w:val="Header"/>
    </w:pPr>
    <w:r>
      <w:t>Supports Video 2: Do you hear 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5487" w14:textId="77777777" w:rsidR="009202E3" w:rsidRDefault="0092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D2DB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0E8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C0F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4AEE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C1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04F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DA3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BA7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4220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407C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20E9D"/>
    <w:multiLevelType w:val="multilevel"/>
    <w:tmpl w:val="A2E6C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9711A1"/>
    <w:multiLevelType w:val="multilevel"/>
    <w:tmpl w:val="FB50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7C7B9D"/>
    <w:multiLevelType w:val="multilevel"/>
    <w:tmpl w:val="F350FB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BB451DE"/>
    <w:multiLevelType w:val="multilevel"/>
    <w:tmpl w:val="09C2C1F2"/>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4" w15:restartNumberingAfterBreak="0">
    <w:nsid w:val="31721D2E"/>
    <w:multiLevelType w:val="multilevel"/>
    <w:tmpl w:val="3B3AB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3"/>
  </w:num>
  <w:num w:numId="3">
    <w:abstractNumId w:val="10"/>
  </w:num>
  <w:num w:numId="4">
    <w:abstractNumId w:val="11"/>
  </w:num>
  <w:num w:numId="5">
    <w:abstractNumId w:val="12"/>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2D"/>
    <w:rsid w:val="0016007D"/>
    <w:rsid w:val="00310955"/>
    <w:rsid w:val="00415171"/>
    <w:rsid w:val="009202E3"/>
    <w:rsid w:val="00A77306"/>
    <w:rsid w:val="00BC2E40"/>
    <w:rsid w:val="00BE7822"/>
    <w:rsid w:val="00EF39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A9A930"/>
  <w15:docId w15:val="{40502C05-D21A-4279-B348-4C4E1CC9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b/>
      <w:color w:val="1E909B"/>
      <w:sz w:val="48"/>
      <w:szCs w:val="48"/>
    </w:rPr>
  </w:style>
  <w:style w:type="paragraph" w:styleId="Heading2">
    <w:name w:val="heading 2"/>
    <w:basedOn w:val="Normal"/>
    <w:next w:val="Normal"/>
    <w:uiPriority w:val="9"/>
    <w:unhideWhenUsed/>
    <w:qFormat/>
    <w:pPr>
      <w:keepNext/>
      <w:keepLines/>
      <w:spacing w:after="80"/>
      <w:outlineLvl w:val="1"/>
    </w:pPr>
    <w:rPr>
      <w:b/>
      <w:color w:val="58B946"/>
      <w:sz w:val="32"/>
      <w:szCs w:val="32"/>
    </w:rPr>
  </w:style>
  <w:style w:type="paragraph" w:styleId="Heading3">
    <w:name w:val="heading 3"/>
    <w:basedOn w:val="Normal"/>
    <w:next w:val="Normal"/>
    <w:uiPriority w:val="9"/>
    <w:unhideWhenUsed/>
    <w:qFormat/>
    <w:pPr>
      <w:keepNext/>
      <w:keepLines/>
      <w:spacing w:before="280" w:after="80"/>
      <w:outlineLvl w:val="2"/>
    </w:pPr>
    <w:rPr>
      <w:b/>
      <w:color w:val="1E909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C2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40"/>
  </w:style>
  <w:style w:type="paragraph" w:styleId="Footer">
    <w:name w:val="footer"/>
    <w:basedOn w:val="Normal"/>
    <w:link w:val="FooterChar"/>
    <w:uiPriority w:val="99"/>
    <w:unhideWhenUsed/>
    <w:rsid w:val="00BC2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40"/>
  </w:style>
  <w:style w:type="character" w:styleId="Hyperlink">
    <w:name w:val="Hyperlink"/>
    <w:basedOn w:val="DefaultParagraphFont"/>
    <w:uiPriority w:val="99"/>
    <w:unhideWhenUsed/>
    <w:rsid w:val="003109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47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tewhariki.tki.org.nz/en/teaching-strategies-and-resources/wellbeing/physical-wellbeing-in-early-learn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alth.tki.org.nz/Key-collections/Exploring-te-ao-kori/What-is-te-ao-ko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ewhariki.tki.org.nz/en/teaching-strategies-and-resources/communication/talking-together/talk-tools/storytelling-and-oral-languag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llright.org.nz/tools/hikitia-te-h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Alamani</dc:creator>
  <cp:lastModifiedBy>Fiona Summerfield</cp:lastModifiedBy>
  <cp:revision>6</cp:revision>
  <cp:lastPrinted>2021-11-03T02:27:00Z</cp:lastPrinted>
  <dcterms:created xsi:type="dcterms:W3CDTF">2021-08-10T21:51:00Z</dcterms:created>
  <dcterms:modified xsi:type="dcterms:W3CDTF">2021-11-03T02:27:00Z</dcterms:modified>
</cp:coreProperties>
</file>